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S20 SC</w:t>
      </w:r>
    </w:p>
    <w:p>
      <w:pPr/>
      <w:r>
        <w:rPr>
          <w:b w:val="1"/>
          <w:bCs w:val="1"/>
        </w:rPr>
        <w:t xml:space="preserve">IP65 policarbonato blanco neutro</w:t>
      </w:r>
    </w:p>
    <w:p/>
    <w:p>
      <w:pPr/>
      <w:r>
        <w:rPr/>
        <w:t xml:space="preserve">Dimensiones (Ø x alt.): 300 x 71 mm;Con bombilla: Sí, sistema LED STEINEL;Con detector de movimiento: Sí;Garantía de fabricante: 5 años;Configuración mediante: Teléfono inteligente, Bluetooth Mesh;Variante: IP65 policarbonato blanco neutro;UE1, EAN: 4007841079772;Aplicación, lugar: Interior;Aplicación, sala: Recibidor/pasillo, Sala funcional / habitación accesoria, Cocina de té, Vestuarios, WC / lavabo, Hueco de escalera, Zona exterior, Interior;Color: Plata;Contenido del paquete: 1;Lugar de instalación: Techo, Pared;Tipo de montaje: Pared, Techo;Resistencia a los golpes: IK10;Índice de protección: IP 65;Clase de aislamiento: II;Temperatura ambiente: de -10 a 50 °C;Material de la carcasa: Aluminio;Material de cubierta: Plástico opalino;Conexión a la red: 220 – 240 V / 50 – 60 Hz;Consumo propio: 0,39 W;Altura de montaje máx.: 4,00 m;Operación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1284 lm;Eficiencia producto completo: 82 lm/W;Temperatura cromática: 4000 K;Desviación de color LED: SDCM3;Bombillas: LED no reemplazable;Zócalo: Sin;Encendido progresivo de la luz: Sí;Alumbrado permanente: Conmutable, 4 h;Funciones: Función de grupos colindantes, Parametrización por grupos, Manual ON / ON-OFF, Conexión a sistemas de batería central, Sensor de movimiento, Tiempo de fundido ajustable al encender y apagar, Luz de orientación, Función DIM, Libre selección del valor lumínico en un grupo lumínico, Fotosensor, Funcionamiento normal/de prueba, Comunicación cifrada;Regulación crepuscular: 2 – 2000 lx;Temporización: 5 s – 60 min;Función de luz de cortesía: Sí;Función de luz de cortesía detalle: Luz de efecto LED;Función de luz de cortesía tiempo: 1-60 min;Luz principal regulable: 5 - 100 %;Regulación crepuscular aprendizaje: Sí;Interconexión: Sí;Interconexión vía: Bluetooth Mesh;Vida útil LED conforme a IEC-62717 (L70): 100.000 h;Vida útil LED conforme a IEC-62717 (L80): 66.000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7 – 100 %;Potencia: 15,7 W;Índice de reproducción cromática CRI: = 82;Corriente de cierre, máxima: 13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079772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S20 SC IP65 policarbonato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2026-07-18T01:06:06+02:00</dcterms:created>
  <dcterms:modified xsi:type="dcterms:W3CDTF">2026-07-18T01:06:06+02:00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